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B7" w:rsidRPr="00336620" w:rsidRDefault="006A18C2" w:rsidP="00A03B2A">
      <w:pPr>
        <w:spacing w:after="33" w:line="259" w:lineRule="auto"/>
        <w:ind w:left="0" w:right="1113" w:firstLine="0"/>
        <w:jc w:val="center"/>
        <w:rPr>
          <w:color w:val="1F4E79" w:themeColor="accent1" w:themeShade="80"/>
          <w:sz w:val="24"/>
          <w:szCs w:val="24"/>
        </w:rPr>
      </w:pPr>
      <w:r>
        <w:rPr>
          <w:rFonts w:ascii="Times New Roman" w:eastAsia="Times New Roman" w:hAnsi="Times New Roman" w:cs="Times New Roman"/>
          <w:b/>
          <w:noProof/>
          <w:sz w:val="22"/>
        </w:rPr>
        <w:drawing>
          <wp:anchor distT="0" distB="0" distL="114300" distR="114300" simplePos="0" relativeHeight="251658240" behindDoc="0" locked="0" layoutInCell="1" allowOverlap="1">
            <wp:simplePos x="0" y="0"/>
            <wp:positionH relativeFrom="column">
              <wp:posOffset>-514350</wp:posOffset>
            </wp:positionH>
            <wp:positionV relativeFrom="paragraph">
              <wp:posOffset>-609600</wp:posOffset>
            </wp:positionV>
            <wp:extent cx="1004982" cy="714375"/>
            <wp:effectExtent l="19050" t="0" r="24130" b="2190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_SLPS_LOGO_DAR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747" cy="71491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A03B2A">
        <w:rPr>
          <w:rFonts w:ascii="Cambria" w:eastAsia="Cambria" w:hAnsi="Cambria" w:cs="Cambria"/>
          <w:b/>
          <w:color w:val="1F4E79" w:themeColor="accent1" w:themeShade="80"/>
          <w:sz w:val="24"/>
          <w:szCs w:val="24"/>
        </w:rPr>
        <w:t xml:space="preserve">                   </w:t>
      </w:r>
      <w:r w:rsidR="00036A9C" w:rsidRPr="00A03B2A">
        <w:rPr>
          <w:rFonts w:ascii="Cambria" w:eastAsia="Cambria" w:hAnsi="Cambria" w:cs="Cambria"/>
          <w:b/>
          <w:color w:val="1F4E79" w:themeColor="accent1" w:themeShade="80"/>
          <w:sz w:val="22"/>
          <w:szCs w:val="24"/>
        </w:rPr>
        <w:t xml:space="preserve">TITLE </w:t>
      </w:r>
      <w:r w:rsidR="00336620" w:rsidRPr="00A03B2A">
        <w:rPr>
          <w:rFonts w:ascii="Cambria" w:eastAsia="Cambria" w:hAnsi="Cambria" w:cs="Cambria"/>
          <w:b/>
          <w:color w:val="1F4E79" w:themeColor="accent1" w:themeShade="80"/>
          <w:sz w:val="22"/>
          <w:szCs w:val="24"/>
        </w:rPr>
        <w:t>IV</w:t>
      </w:r>
      <w:r w:rsidR="00036A9C" w:rsidRPr="00A03B2A">
        <w:rPr>
          <w:rFonts w:ascii="Cambria" w:eastAsia="Cambria" w:hAnsi="Cambria" w:cs="Cambria"/>
          <w:b/>
          <w:color w:val="1F4E79" w:themeColor="accent1" w:themeShade="80"/>
          <w:sz w:val="22"/>
          <w:szCs w:val="24"/>
        </w:rPr>
        <w:t xml:space="preserve">   ­ </w:t>
      </w:r>
      <w:r w:rsidR="00336620" w:rsidRPr="00A03B2A">
        <w:rPr>
          <w:rFonts w:ascii="Cambria" w:eastAsia="Cambria" w:hAnsi="Cambria" w:cs="Cambria"/>
          <w:b/>
          <w:color w:val="1F4E79" w:themeColor="accent1" w:themeShade="80"/>
          <w:sz w:val="22"/>
          <w:szCs w:val="24"/>
        </w:rPr>
        <w:t>S</w:t>
      </w:r>
      <w:r w:rsidR="00336620" w:rsidRPr="00A03B2A">
        <w:rPr>
          <w:rFonts w:ascii="Cambria" w:eastAsia="Cambria" w:hAnsi="Cambria" w:cs="Cambria"/>
          <w:b/>
          <w:smallCaps/>
          <w:color w:val="1F4E79" w:themeColor="accent1" w:themeShade="80"/>
          <w:sz w:val="22"/>
          <w:szCs w:val="24"/>
        </w:rPr>
        <w:t>tudent</w:t>
      </w:r>
      <w:r w:rsidR="00336620" w:rsidRPr="00A03B2A">
        <w:rPr>
          <w:rFonts w:ascii="Cambria" w:eastAsia="Cambria" w:hAnsi="Cambria" w:cs="Cambria"/>
          <w:b/>
          <w:color w:val="1F4E79" w:themeColor="accent1" w:themeShade="80"/>
          <w:sz w:val="22"/>
          <w:szCs w:val="24"/>
        </w:rPr>
        <w:t xml:space="preserve"> S</w:t>
      </w:r>
      <w:r w:rsidR="00336620" w:rsidRPr="00A03B2A">
        <w:rPr>
          <w:rFonts w:ascii="Cambria" w:eastAsia="Cambria" w:hAnsi="Cambria" w:cs="Cambria"/>
          <w:b/>
          <w:smallCaps/>
          <w:color w:val="1F4E79" w:themeColor="accent1" w:themeShade="80"/>
          <w:sz w:val="22"/>
          <w:szCs w:val="24"/>
        </w:rPr>
        <w:t>upport</w:t>
      </w:r>
      <w:r w:rsidR="00336620" w:rsidRPr="00A03B2A">
        <w:rPr>
          <w:rFonts w:ascii="Cambria" w:eastAsia="Cambria" w:hAnsi="Cambria" w:cs="Cambria"/>
          <w:b/>
          <w:color w:val="1F4E79" w:themeColor="accent1" w:themeShade="80"/>
          <w:sz w:val="22"/>
          <w:szCs w:val="24"/>
        </w:rPr>
        <w:t xml:space="preserve"> </w:t>
      </w:r>
      <w:r w:rsidR="00336620" w:rsidRPr="00A03B2A">
        <w:rPr>
          <w:rFonts w:ascii="Cambria" w:eastAsia="Cambria" w:hAnsi="Cambria" w:cs="Cambria"/>
          <w:b/>
          <w:smallCaps/>
          <w:color w:val="1F4E79" w:themeColor="accent1" w:themeShade="80"/>
          <w:sz w:val="22"/>
          <w:szCs w:val="24"/>
        </w:rPr>
        <w:t>and</w:t>
      </w:r>
      <w:r w:rsidR="00336620" w:rsidRPr="00A03B2A">
        <w:rPr>
          <w:rFonts w:ascii="Cambria" w:eastAsia="Cambria" w:hAnsi="Cambria" w:cs="Cambria"/>
          <w:b/>
          <w:color w:val="1F4E79" w:themeColor="accent1" w:themeShade="80"/>
          <w:sz w:val="22"/>
          <w:szCs w:val="24"/>
        </w:rPr>
        <w:t xml:space="preserve"> A</w:t>
      </w:r>
      <w:r w:rsidR="00336620" w:rsidRPr="00A03B2A">
        <w:rPr>
          <w:rFonts w:ascii="Cambria" w:eastAsia="Cambria" w:hAnsi="Cambria" w:cs="Cambria"/>
          <w:b/>
          <w:smallCaps/>
          <w:color w:val="1F4E79" w:themeColor="accent1" w:themeShade="80"/>
          <w:sz w:val="22"/>
          <w:szCs w:val="24"/>
        </w:rPr>
        <w:t>cademic</w:t>
      </w:r>
      <w:r w:rsidR="00336620" w:rsidRPr="00A03B2A">
        <w:rPr>
          <w:rFonts w:ascii="Cambria" w:eastAsia="Cambria" w:hAnsi="Cambria" w:cs="Cambria"/>
          <w:b/>
          <w:color w:val="1F4E79" w:themeColor="accent1" w:themeShade="80"/>
          <w:sz w:val="22"/>
          <w:szCs w:val="24"/>
        </w:rPr>
        <w:t xml:space="preserve"> E</w:t>
      </w:r>
      <w:r w:rsidR="00336620" w:rsidRPr="00A03B2A">
        <w:rPr>
          <w:rFonts w:ascii="Cambria" w:eastAsia="Cambria" w:hAnsi="Cambria" w:cs="Cambria"/>
          <w:b/>
          <w:smallCaps/>
          <w:color w:val="1F4E79" w:themeColor="accent1" w:themeShade="80"/>
          <w:sz w:val="22"/>
          <w:szCs w:val="24"/>
        </w:rPr>
        <w:t>nrichment</w:t>
      </w:r>
      <w:r w:rsidR="00336620" w:rsidRPr="00A03B2A">
        <w:rPr>
          <w:rFonts w:ascii="Cambria" w:eastAsia="Cambria" w:hAnsi="Cambria" w:cs="Cambria"/>
          <w:b/>
          <w:color w:val="1F4E79" w:themeColor="accent1" w:themeShade="80"/>
          <w:sz w:val="22"/>
          <w:szCs w:val="24"/>
        </w:rPr>
        <w:t xml:space="preserve"> G</w:t>
      </w:r>
      <w:r w:rsidR="00336620" w:rsidRPr="00A03B2A">
        <w:rPr>
          <w:rFonts w:ascii="Cambria" w:eastAsia="Cambria" w:hAnsi="Cambria" w:cs="Cambria"/>
          <w:b/>
          <w:smallCaps/>
          <w:color w:val="1F4E79" w:themeColor="accent1" w:themeShade="80"/>
          <w:sz w:val="22"/>
          <w:szCs w:val="24"/>
        </w:rPr>
        <w:t>rants</w:t>
      </w:r>
    </w:p>
    <w:p w:rsidR="00362EB7" w:rsidRPr="006A18C2" w:rsidRDefault="00036A9C" w:rsidP="006A18C2">
      <w:pPr>
        <w:pStyle w:val="Heading1"/>
        <w:rPr>
          <w:color w:val="1F4E79" w:themeColor="accent1" w:themeShade="80"/>
        </w:rPr>
      </w:pPr>
      <w:r w:rsidRPr="006A18C2">
        <w:rPr>
          <w:color w:val="1F4E79" w:themeColor="accent1" w:themeShade="80"/>
        </w:rPr>
        <w:t>Criteria for Approval</w:t>
      </w:r>
    </w:p>
    <w:p w:rsidR="00362EB7" w:rsidRDefault="00036A9C">
      <w:pPr>
        <w:spacing w:after="39" w:line="259" w:lineRule="auto"/>
        <w:ind w:left="0" w:right="408" w:firstLine="0"/>
        <w:jc w:val="center"/>
      </w:pPr>
      <w:r>
        <w:rPr>
          <w:rFonts w:ascii="Times New Roman" w:eastAsia="Times New Roman" w:hAnsi="Times New Roman" w:cs="Times New Roman"/>
          <w:b/>
          <w:sz w:val="16"/>
        </w:rPr>
        <w:t xml:space="preserve"> </w:t>
      </w:r>
    </w:p>
    <w:p w:rsidR="00362EB7" w:rsidRDefault="00036A9C">
      <w:pPr>
        <w:tabs>
          <w:tab w:val="center" w:pos="4830"/>
          <w:tab w:val="center" w:pos="6111"/>
          <w:tab w:val="center" w:pos="7200"/>
          <w:tab w:val="center" w:pos="7920"/>
          <w:tab w:val="center" w:pos="8640"/>
          <w:tab w:val="center" w:pos="9360"/>
        </w:tabs>
        <w:spacing w:after="246"/>
        <w:ind w:left="-9" w:firstLine="0"/>
      </w:pPr>
      <w:r>
        <w:t xml:space="preserve">School Name  </w:t>
      </w:r>
      <w:r>
        <w:rPr>
          <w:u w:val="single" w:color="000000"/>
        </w:rPr>
        <w:t xml:space="preserve"> </w:t>
      </w:r>
      <w:r>
        <w:rPr>
          <w:u w:val="single" w:color="000000"/>
        </w:rPr>
        <w:tab/>
        <w:t>___</w:t>
      </w:r>
      <w:r>
        <w:t xml:space="preserve"> </w:t>
      </w:r>
      <w:r>
        <w:tab/>
        <w:t xml:space="preserve">Teacher </w:t>
      </w:r>
      <w:r w:rsidR="00673B1C">
        <w:t>Signature</w:t>
      </w:r>
      <w:r>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362EB7" w:rsidRDefault="00036A9C">
      <w:pPr>
        <w:tabs>
          <w:tab w:val="center" w:pos="4830"/>
          <w:tab w:val="center" w:pos="6136"/>
          <w:tab w:val="center" w:pos="7200"/>
          <w:tab w:val="center" w:pos="8319"/>
          <w:tab w:val="center" w:pos="9360"/>
        </w:tabs>
        <w:spacing w:after="231"/>
        <w:ind w:left="-9" w:firstLine="0"/>
      </w:pPr>
      <w:r>
        <w:t xml:space="preserve">Activity and Date(s)  </w:t>
      </w:r>
      <w:r>
        <w:rPr>
          <w:u w:val="single" w:color="000000"/>
        </w:rPr>
        <w:t xml:space="preserve"> </w:t>
      </w:r>
      <w:r>
        <w:rPr>
          <w:u w:val="single" w:color="000000"/>
        </w:rPr>
        <w:tab/>
        <w:t>___</w:t>
      </w:r>
      <w:r>
        <w:t xml:space="preserve">  </w:t>
      </w:r>
      <w:r>
        <w:tab/>
        <w:t xml:space="preserve">Principal </w:t>
      </w:r>
      <w:r w:rsidR="00673B1C">
        <w:t>Signature</w:t>
      </w:r>
      <w:r>
        <w:t xml:space="preserve">  </w:t>
      </w:r>
      <w:r>
        <w:rPr>
          <w:u w:val="single" w:color="000000"/>
        </w:rPr>
        <w:t xml:space="preserve"> </w:t>
      </w:r>
      <w:r>
        <w:rPr>
          <w:u w:val="single" w:color="000000"/>
        </w:rPr>
        <w:tab/>
        <w:t xml:space="preserve"> </w:t>
      </w:r>
      <w:r>
        <w:rPr>
          <w:u w:val="single" w:color="000000"/>
        </w:rPr>
        <w:tab/>
        <w:t xml:space="preserve">________ </w:t>
      </w:r>
      <w:r>
        <w:rPr>
          <w:u w:val="single" w:color="000000"/>
        </w:rPr>
        <w:tab/>
      </w:r>
      <w:r>
        <w:t xml:space="preserve"> </w:t>
      </w:r>
    </w:p>
    <w:p w:rsidR="00362EB7" w:rsidRPr="00A03B2A" w:rsidRDefault="00036A9C" w:rsidP="00336620">
      <w:pPr>
        <w:ind w:left="1"/>
        <w:rPr>
          <w:sz w:val="14"/>
        </w:rPr>
      </w:pPr>
      <w:r w:rsidRPr="00A03B2A">
        <w:t xml:space="preserve">Instructions: </w:t>
      </w:r>
      <w:r w:rsidR="00336620" w:rsidRPr="00A03B2A">
        <w:t>Newly authorized under subpart 1 of Title IV, Part A of the ESEA, the Student Support and Academic Enrichment (SSAE) program is intended to help meet these goals by increasing the capacity of local educational agencies (LEAs), schools, and local communities to: 1) provide all students with acce</w:t>
      </w:r>
      <w:r w:rsidR="00336620" w:rsidRPr="00A03B2A">
        <w:t>ss to a well-rounded education,</w:t>
      </w:r>
      <w:r w:rsidR="00336620" w:rsidRPr="00A03B2A">
        <w:t xml:space="preserve"> 2)</w:t>
      </w:r>
      <w:r w:rsidR="00336620" w:rsidRPr="00A03B2A">
        <w:t xml:space="preserve"> </w:t>
      </w:r>
      <w:r w:rsidR="00336620" w:rsidRPr="00A03B2A">
        <w:t>improve school conditions for student learning, and 3) improve the use of technology in order to improve the academic achievement and digital literacy of all students. (ESEA section 4101).</w:t>
      </w:r>
      <w:r w:rsidRPr="00A03B2A">
        <w:rPr>
          <w:sz w:val="14"/>
        </w:rPr>
        <w:t xml:space="preserve"> </w:t>
      </w:r>
    </w:p>
    <w:p w:rsidR="00336620" w:rsidRPr="00A03B2A" w:rsidRDefault="00336620" w:rsidP="00336620">
      <w:pPr>
        <w:ind w:left="1"/>
        <w:rPr>
          <w:sz w:val="18"/>
        </w:rPr>
      </w:pPr>
    </w:p>
    <w:p w:rsidR="00362EB7" w:rsidRPr="00336620" w:rsidRDefault="00036A9C" w:rsidP="006A18C2">
      <w:pPr>
        <w:spacing w:after="37" w:line="259" w:lineRule="auto"/>
        <w:ind w:left="0" w:firstLine="0"/>
        <w:rPr>
          <w:sz w:val="22"/>
        </w:rPr>
      </w:pPr>
      <w:r w:rsidRPr="00336620">
        <w:rPr>
          <w:b/>
          <w:color w:val="365F91"/>
          <w:sz w:val="22"/>
        </w:rPr>
        <w:t>Part I:</w:t>
      </w:r>
      <w:r w:rsidR="00C94D85" w:rsidRPr="00336620">
        <w:rPr>
          <w:sz w:val="22"/>
        </w:rPr>
        <w:t xml:space="preserve"> </w:t>
      </w:r>
      <w:r w:rsidR="00C94D85" w:rsidRPr="00336620">
        <w:rPr>
          <w:b/>
          <w:sz w:val="22"/>
        </w:rPr>
        <w:t xml:space="preserve"> </w:t>
      </w:r>
      <w:r w:rsidR="00336620" w:rsidRPr="00336620">
        <w:rPr>
          <w:b/>
          <w:sz w:val="22"/>
        </w:rPr>
        <w:t>Well Rounded Educational Opportunities</w:t>
      </w:r>
      <w:r w:rsidRPr="00336620">
        <w:rPr>
          <w:b/>
          <w:sz w:val="22"/>
        </w:rPr>
        <w:t xml:space="preserve"> </w:t>
      </w:r>
    </w:p>
    <w:tbl>
      <w:tblPr>
        <w:tblStyle w:val="TableGrid0"/>
        <w:tblW w:w="0" w:type="auto"/>
        <w:tblLook w:val="04A0" w:firstRow="1" w:lastRow="0" w:firstColumn="1" w:lastColumn="0" w:noHBand="0" w:noVBand="1"/>
      </w:tblPr>
      <w:tblGrid>
        <w:gridCol w:w="445"/>
        <w:gridCol w:w="9353"/>
      </w:tblGrid>
      <w:tr w:rsidR="00336620" w:rsidTr="00336620">
        <w:tc>
          <w:tcPr>
            <w:tcW w:w="445" w:type="dxa"/>
          </w:tcPr>
          <w:p w:rsidR="00336620" w:rsidRDefault="00336620">
            <w:pPr>
              <w:spacing w:after="24" w:line="259" w:lineRule="auto"/>
              <w:ind w:left="0" w:firstLine="0"/>
              <w:rPr>
                <w:b/>
                <w:sz w:val="16"/>
              </w:rPr>
            </w:pPr>
          </w:p>
        </w:tc>
        <w:tc>
          <w:tcPr>
            <w:tcW w:w="9353" w:type="dxa"/>
            <w:vAlign w:val="center"/>
          </w:tcPr>
          <w:p w:rsidR="00336620" w:rsidRPr="00A03B2A" w:rsidRDefault="00336620" w:rsidP="00336620">
            <w:pPr>
              <w:spacing w:after="24" w:line="259" w:lineRule="auto"/>
              <w:ind w:left="0" w:firstLine="0"/>
              <w:rPr>
                <w:b/>
                <w:sz w:val="18"/>
              </w:rPr>
            </w:pPr>
            <w:r w:rsidRPr="00A03B2A">
              <w:rPr>
                <w:sz w:val="18"/>
              </w:rPr>
              <w:t>Improving access to foreign language instruction, arts, and music education</w:t>
            </w:r>
          </w:p>
        </w:tc>
      </w:tr>
      <w:tr w:rsidR="00336620" w:rsidTr="00336620">
        <w:tc>
          <w:tcPr>
            <w:tcW w:w="445" w:type="dxa"/>
          </w:tcPr>
          <w:p w:rsidR="00336620" w:rsidRDefault="00336620">
            <w:pPr>
              <w:spacing w:after="24" w:line="259" w:lineRule="auto"/>
              <w:ind w:left="0" w:firstLine="0"/>
              <w:rPr>
                <w:b/>
                <w:sz w:val="16"/>
              </w:rPr>
            </w:pPr>
          </w:p>
        </w:tc>
        <w:tc>
          <w:tcPr>
            <w:tcW w:w="9353" w:type="dxa"/>
            <w:vAlign w:val="center"/>
          </w:tcPr>
          <w:p w:rsidR="00336620" w:rsidRPr="00A03B2A" w:rsidRDefault="00336620" w:rsidP="00336620">
            <w:pPr>
              <w:spacing w:after="24" w:line="259" w:lineRule="auto"/>
              <w:ind w:left="0" w:firstLine="0"/>
              <w:rPr>
                <w:b/>
                <w:sz w:val="18"/>
              </w:rPr>
            </w:pPr>
            <w:r w:rsidRPr="00A03B2A">
              <w:rPr>
                <w:sz w:val="18"/>
              </w:rPr>
              <w:t>Supporting college and career counseling, including providing information on opportunities for financial aid through the early FAFSA</w:t>
            </w:r>
          </w:p>
        </w:tc>
      </w:tr>
      <w:tr w:rsidR="00336620" w:rsidTr="00336620">
        <w:tc>
          <w:tcPr>
            <w:tcW w:w="445" w:type="dxa"/>
          </w:tcPr>
          <w:p w:rsidR="00336620" w:rsidRDefault="00336620">
            <w:pPr>
              <w:spacing w:after="24" w:line="259" w:lineRule="auto"/>
              <w:ind w:left="0" w:firstLine="0"/>
              <w:rPr>
                <w:b/>
                <w:sz w:val="16"/>
              </w:rPr>
            </w:pPr>
          </w:p>
        </w:tc>
        <w:tc>
          <w:tcPr>
            <w:tcW w:w="9353" w:type="dxa"/>
            <w:vAlign w:val="center"/>
          </w:tcPr>
          <w:p w:rsidR="00336620" w:rsidRPr="00A03B2A" w:rsidRDefault="00336620" w:rsidP="00336620">
            <w:pPr>
              <w:spacing w:after="24" w:line="259" w:lineRule="auto"/>
              <w:ind w:left="0" w:firstLine="0"/>
              <w:rPr>
                <w:b/>
                <w:sz w:val="18"/>
              </w:rPr>
            </w:pPr>
            <w:r w:rsidRPr="00A03B2A">
              <w:rPr>
                <w:sz w:val="18"/>
              </w:rPr>
              <w:t>Providing programming to improve instruction and student engagement in science, technology, engineering and mathematics (STEM), including computer science, a</w:t>
            </w:r>
            <w:bookmarkStart w:id="0" w:name="_GoBack"/>
            <w:r w:rsidRPr="00A03B2A">
              <w:rPr>
                <w:sz w:val="18"/>
              </w:rPr>
              <w:t>n</w:t>
            </w:r>
            <w:bookmarkEnd w:id="0"/>
            <w:r w:rsidRPr="00A03B2A">
              <w:rPr>
                <w:sz w:val="18"/>
              </w:rPr>
              <w:t>d increasing access to these subjects for underrepresented groups</w:t>
            </w:r>
          </w:p>
        </w:tc>
      </w:tr>
      <w:tr w:rsidR="00336620" w:rsidTr="00A03B2A">
        <w:trPr>
          <w:trHeight w:val="70"/>
        </w:trPr>
        <w:tc>
          <w:tcPr>
            <w:tcW w:w="445" w:type="dxa"/>
          </w:tcPr>
          <w:p w:rsidR="00336620" w:rsidRDefault="00336620">
            <w:pPr>
              <w:spacing w:after="24" w:line="259" w:lineRule="auto"/>
              <w:ind w:left="0" w:firstLine="0"/>
              <w:rPr>
                <w:b/>
                <w:sz w:val="16"/>
              </w:rPr>
            </w:pPr>
          </w:p>
        </w:tc>
        <w:tc>
          <w:tcPr>
            <w:tcW w:w="9353" w:type="dxa"/>
            <w:vAlign w:val="center"/>
          </w:tcPr>
          <w:p w:rsidR="00336620" w:rsidRPr="00A03B2A" w:rsidRDefault="00336620" w:rsidP="00336620">
            <w:pPr>
              <w:spacing w:after="24" w:line="259" w:lineRule="auto"/>
              <w:ind w:left="0" w:firstLine="0"/>
              <w:rPr>
                <w:b/>
                <w:sz w:val="18"/>
              </w:rPr>
            </w:pPr>
            <w:r w:rsidRPr="00A03B2A">
              <w:rPr>
                <w:sz w:val="18"/>
              </w:rPr>
              <w:t>Promoting access to accelerated learning opportunities including Advanced Placement (AP) and International Baccalaureate (IB) programs, dual or concurrent enrollment programs and early college high schools</w:t>
            </w:r>
          </w:p>
        </w:tc>
      </w:tr>
      <w:tr w:rsidR="00336620" w:rsidTr="00336620">
        <w:tc>
          <w:tcPr>
            <w:tcW w:w="445" w:type="dxa"/>
          </w:tcPr>
          <w:p w:rsidR="00336620" w:rsidRDefault="00336620">
            <w:pPr>
              <w:spacing w:after="24" w:line="259" w:lineRule="auto"/>
              <w:ind w:left="0" w:firstLine="0"/>
              <w:rPr>
                <w:b/>
                <w:sz w:val="16"/>
              </w:rPr>
            </w:pPr>
          </w:p>
        </w:tc>
        <w:tc>
          <w:tcPr>
            <w:tcW w:w="9353" w:type="dxa"/>
            <w:vAlign w:val="center"/>
          </w:tcPr>
          <w:p w:rsidR="00336620" w:rsidRPr="00A03B2A" w:rsidRDefault="00336620" w:rsidP="00336620">
            <w:pPr>
              <w:spacing w:after="24" w:line="259" w:lineRule="auto"/>
              <w:ind w:left="0" w:firstLine="0"/>
              <w:rPr>
                <w:b/>
                <w:sz w:val="18"/>
              </w:rPr>
            </w:pPr>
            <w:r w:rsidRPr="00A03B2A">
              <w:rPr>
                <w:sz w:val="18"/>
              </w:rPr>
              <w:t>Strengthening instruction in American history, civics, economics, geography, government education, and environmental education</w:t>
            </w:r>
          </w:p>
        </w:tc>
      </w:tr>
    </w:tbl>
    <w:p w:rsidR="00362EB7" w:rsidRDefault="00036A9C">
      <w:pPr>
        <w:spacing w:after="24" w:line="259" w:lineRule="auto"/>
        <w:ind w:left="0" w:firstLine="0"/>
      </w:pPr>
      <w:r>
        <w:rPr>
          <w:b/>
          <w:sz w:val="16"/>
        </w:rPr>
        <w:t xml:space="preserve"> </w:t>
      </w:r>
    </w:p>
    <w:p w:rsidR="00362EB7" w:rsidRPr="00336620" w:rsidRDefault="00036A9C">
      <w:pPr>
        <w:ind w:left="802" w:right="375" w:hanging="811"/>
        <w:rPr>
          <w:b/>
          <w:sz w:val="22"/>
        </w:rPr>
      </w:pPr>
      <w:r w:rsidRPr="00336620">
        <w:rPr>
          <w:b/>
          <w:color w:val="365F91"/>
          <w:sz w:val="22"/>
        </w:rPr>
        <w:t>Part II</w:t>
      </w:r>
      <w:r w:rsidRPr="00336620">
        <w:rPr>
          <w:b/>
          <w:sz w:val="22"/>
        </w:rPr>
        <w:t>:</w:t>
      </w:r>
      <w:r w:rsidR="00C94D85" w:rsidRPr="00336620">
        <w:rPr>
          <w:b/>
          <w:sz w:val="22"/>
        </w:rPr>
        <w:t xml:space="preserve"> </w:t>
      </w:r>
      <w:r w:rsidR="00336620" w:rsidRPr="00336620">
        <w:rPr>
          <w:b/>
          <w:sz w:val="22"/>
        </w:rPr>
        <w:t>Safe and Healthy Students</w:t>
      </w:r>
    </w:p>
    <w:tbl>
      <w:tblPr>
        <w:tblStyle w:val="TableGrid0"/>
        <w:tblW w:w="0" w:type="auto"/>
        <w:tblLook w:val="04A0" w:firstRow="1" w:lastRow="0" w:firstColumn="1" w:lastColumn="0" w:noHBand="0" w:noVBand="1"/>
      </w:tblPr>
      <w:tblGrid>
        <w:gridCol w:w="445"/>
        <w:gridCol w:w="9353"/>
      </w:tblGrid>
      <w:tr w:rsidR="00A03B2A" w:rsidTr="00A03B2A">
        <w:tc>
          <w:tcPr>
            <w:tcW w:w="445" w:type="dxa"/>
          </w:tcPr>
          <w:p w:rsidR="00A03B2A" w:rsidRDefault="00A03B2A">
            <w:pPr>
              <w:spacing w:after="24" w:line="259" w:lineRule="auto"/>
              <w:ind w:left="0" w:firstLine="0"/>
              <w:rPr>
                <w:sz w:val="16"/>
              </w:rPr>
            </w:pPr>
          </w:p>
        </w:tc>
        <w:tc>
          <w:tcPr>
            <w:tcW w:w="9353" w:type="dxa"/>
          </w:tcPr>
          <w:p w:rsidR="00A03B2A" w:rsidRPr="00A03B2A" w:rsidRDefault="00A03B2A">
            <w:pPr>
              <w:spacing w:after="24" w:line="259" w:lineRule="auto"/>
              <w:ind w:left="0" w:firstLine="0"/>
              <w:rPr>
                <w:sz w:val="18"/>
              </w:rPr>
            </w:pPr>
            <w:r w:rsidRPr="00A03B2A">
              <w:rPr>
                <w:sz w:val="18"/>
              </w:rPr>
              <w:t>Promoting community and parent involvement in schools</w:t>
            </w:r>
          </w:p>
        </w:tc>
      </w:tr>
      <w:tr w:rsidR="00A03B2A" w:rsidTr="00A03B2A">
        <w:tc>
          <w:tcPr>
            <w:tcW w:w="445" w:type="dxa"/>
          </w:tcPr>
          <w:p w:rsidR="00A03B2A" w:rsidRDefault="00A03B2A">
            <w:pPr>
              <w:spacing w:after="24" w:line="259" w:lineRule="auto"/>
              <w:ind w:left="0" w:firstLine="0"/>
              <w:rPr>
                <w:sz w:val="16"/>
              </w:rPr>
            </w:pPr>
          </w:p>
        </w:tc>
        <w:tc>
          <w:tcPr>
            <w:tcW w:w="9353" w:type="dxa"/>
          </w:tcPr>
          <w:p w:rsidR="00A03B2A" w:rsidRPr="00A03B2A" w:rsidRDefault="00A03B2A">
            <w:pPr>
              <w:spacing w:after="24" w:line="259" w:lineRule="auto"/>
              <w:ind w:left="0" w:firstLine="0"/>
              <w:rPr>
                <w:sz w:val="18"/>
              </w:rPr>
            </w:pPr>
            <w:r w:rsidRPr="00A03B2A">
              <w:rPr>
                <w:sz w:val="18"/>
              </w:rPr>
              <w:t>Providing school-based mental health services and counseling</w:t>
            </w:r>
          </w:p>
        </w:tc>
      </w:tr>
      <w:tr w:rsidR="00A03B2A" w:rsidTr="00A03B2A">
        <w:tc>
          <w:tcPr>
            <w:tcW w:w="445" w:type="dxa"/>
          </w:tcPr>
          <w:p w:rsidR="00A03B2A" w:rsidRDefault="00A03B2A">
            <w:pPr>
              <w:spacing w:after="24" w:line="259" w:lineRule="auto"/>
              <w:ind w:left="0" w:firstLine="0"/>
              <w:rPr>
                <w:sz w:val="16"/>
              </w:rPr>
            </w:pPr>
          </w:p>
        </w:tc>
        <w:tc>
          <w:tcPr>
            <w:tcW w:w="9353" w:type="dxa"/>
          </w:tcPr>
          <w:p w:rsidR="00A03B2A" w:rsidRPr="00A03B2A" w:rsidRDefault="00A03B2A">
            <w:pPr>
              <w:spacing w:after="24" w:line="259" w:lineRule="auto"/>
              <w:ind w:left="0" w:firstLine="0"/>
              <w:rPr>
                <w:sz w:val="18"/>
              </w:rPr>
            </w:pPr>
            <w:r w:rsidRPr="00A03B2A">
              <w:rPr>
                <w:sz w:val="18"/>
              </w:rPr>
              <w:t>Promoting supportive school climates to reduce the use of exclusionary discipline and promoting supportive school discipline</w:t>
            </w:r>
          </w:p>
        </w:tc>
      </w:tr>
      <w:tr w:rsidR="00A03B2A" w:rsidTr="00A03B2A">
        <w:tc>
          <w:tcPr>
            <w:tcW w:w="445" w:type="dxa"/>
          </w:tcPr>
          <w:p w:rsidR="00A03B2A" w:rsidRDefault="00A03B2A">
            <w:pPr>
              <w:spacing w:after="24" w:line="259" w:lineRule="auto"/>
              <w:ind w:left="0" w:firstLine="0"/>
              <w:rPr>
                <w:sz w:val="16"/>
              </w:rPr>
            </w:pPr>
          </w:p>
        </w:tc>
        <w:tc>
          <w:tcPr>
            <w:tcW w:w="9353" w:type="dxa"/>
          </w:tcPr>
          <w:p w:rsidR="00A03B2A" w:rsidRPr="00A03B2A" w:rsidRDefault="00A03B2A">
            <w:pPr>
              <w:spacing w:after="24" w:line="259" w:lineRule="auto"/>
              <w:ind w:left="0" w:firstLine="0"/>
              <w:rPr>
                <w:sz w:val="18"/>
              </w:rPr>
            </w:pPr>
            <w:r w:rsidRPr="00A03B2A">
              <w:rPr>
                <w:sz w:val="18"/>
              </w:rPr>
              <w:t>Establishing or improving dropout prevention</w:t>
            </w:r>
          </w:p>
        </w:tc>
      </w:tr>
      <w:tr w:rsidR="00A03B2A" w:rsidTr="00A03B2A">
        <w:tc>
          <w:tcPr>
            <w:tcW w:w="445" w:type="dxa"/>
          </w:tcPr>
          <w:p w:rsidR="00A03B2A" w:rsidRDefault="00A03B2A">
            <w:pPr>
              <w:spacing w:after="24" w:line="259" w:lineRule="auto"/>
              <w:ind w:left="0" w:firstLine="0"/>
              <w:rPr>
                <w:sz w:val="16"/>
              </w:rPr>
            </w:pPr>
          </w:p>
        </w:tc>
        <w:tc>
          <w:tcPr>
            <w:tcW w:w="9353" w:type="dxa"/>
          </w:tcPr>
          <w:p w:rsidR="00A03B2A" w:rsidRPr="00A03B2A" w:rsidRDefault="00A03B2A" w:rsidP="00A03B2A">
            <w:pPr>
              <w:spacing w:after="24" w:line="259" w:lineRule="auto"/>
              <w:ind w:left="0" w:firstLine="0"/>
              <w:rPr>
                <w:sz w:val="18"/>
              </w:rPr>
            </w:pPr>
            <w:r w:rsidRPr="00A03B2A">
              <w:rPr>
                <w:sz w:val="18"/>
              </w:rPr>
              <w:t>Supporting re-entry programs and transition services for justice</w:t>
            </w:r>
            <w:r w:rsidRPr="00A03B2A">
              <w:rPr>
                <w:sz w:val="18"/>
              </w:rPr>
              <w:t xml:space="preserve"> </w:t>
            </w:r>
            <w:r w:rsidRPr="00A03B2A">
              <w:rPr>
                <w:sz w:val="18"/>
              </w:rPr>
              <w:t>involved youth</w:t>
            </w:r>
          </w:p>
        </w:tc>
      </w:tr>
      <w:tr w:rsidR="00A03B2A" w:rsidTr="00A03B2A">
        <w:tc>
          <w:tcPr>
            <w:tcW w:w="445" w:type="dxa"/>
          </w:tcPr>
          <w:p w:rsidR="00A03B2A" w:rsidRDefault="00A03B2A">
            <w:pPr>
              <w:spacing w:after="24" w:line="259" w:lineRule="auto"/>
              <w:ind w:left="0" w:firstLine="0"/>
              <w:rPr>
                <w:sz w:val="16"/>
              </w:rPr>
            </w:pPr>
          </w:p>
        </w:tc>
        <w:tc>
          <w:tcPr>
            <w:tcW w:w="9353" w:type="dxa"/>
          </w:tcPr>
          <w:p w:rsidR="00A03B2A" w:rsidRPr="00A03B2A" w:rsidRDefault="00A03B2A">
            <w:pPr>
              <w:spacing w:after="24" w:line="259" w:lineRule="auto"/>
              <w:ind w:left="0" w:firstLine="0"/>
              <w:rPr>
                <w:sz w:val="18"/>
              </w:rPr>
            </w:pPr>
            <w:r w:rsidRPr="00A03B2A">
              <w:rPr>
                <w:sz w:val="18"/>
              </w:rPr>
              <w:t>Implementing programs that support a healthy, active lifestyle (nutritional and physical education)</w:t>
            </w:r>
          </w:p>
        </w:tc>
      </w:tr>
      <w:tr w:rsidR="00A03B2A" w:rsidTr="00A03B2A">
        <w:tc>
          <w:tcPr>
            <w:tcW w:w="445" w:type="dxa"/>
          </w:tcPr>
          <w:p w:rsidR="00A03B2A" w:rsidRDefault="00A03B2A">
            <w:pPr>
              <w:spacing w:after="24" w:line="259" w:lineRule="auto"/>
              <w:ind w:left="0" w:firstLine="0"/>
              <w:rPr>
                <w:sz w:val="16"/>
              </w:rPr>
            </w:pPr>
          </w:p>
        </w:tc>
        <w:tc>
          <w:tcPr>
            <w:tcW w:w="9353" w:type="dxa"/>
          </w:tcPr>
          <w:p w:rsidR="00A03B2A" w:rsidRPr="00A03B2A" w:rsidRDefault="00A03B2A">
            <w:pPr>
              <w:spacing w:after="24" w:line="259" w:lineRule="auto"/>
              <w:ind w:left="0" w:firstLine="0"/>
              <w:rPr>
                <w:sz w:val="18"/>
              </w:rPr>
            </w:pPr>
            <w:r w:rsidRPr="00A03B2A">
              <w:rPr>
                <w:sz w:val="18"/>
              </w:rPr>
              <w:t>Implementing systems and practices to prevent bullying and harassment</w:t>
            </w:r>
          </w:p>
        </w:tc>
      </w:tr>
      <w:tr w:rsidR="00A03B2A" w:rsidTr="00A03B2A">
        <w:tc>
          <w:tcPr>
            <w:tcW w:w="445" w:type="dxa"/>
          </w:tcPr>
          <w:p w:rsidR="00A03B2A" w:rsidRDefault="00A03B2A">
            <w:pPr>
              <w:spacing w:after="24" w:line="259" w:lineRule="auto"/>
              <w:ind w:left="0" w:firstLine="0"/>
              <w:rPr>
                <w:sz w:val="16"/>
              </w:rPr>
            </w:pPr>
          </w:p>
        </w:tc>
        <w:tc>
          <w:tcPr>
            <w:tcW w:w="9353" w:type="dxa"/>
          </w:tcPr>
          <w:p w:rsidR="00A03B2A" w:rsidRPr="00A03B2A" w:rsidRDefault="00A03B2A">
            <w:pPr>
              <w:spacing w:after="24" w:line="259" w:lineRule="auto"/>
              <w:ind w:left="0" w:firstLine="0"/>
              <w:rPr>
                <w:sz w:val="18"/>
              </w:rPr>
            </w:pPr>
            <w:r w:rsidRPr="00A03B2A">
              <w:rPr>
                <w:sz w:val="18"/>
              </w:rPr>
              <w:t>Developing relationship building skills to help improve safety through the recognition and prevention of coercion, violence, or abuse</w:t>
            </w:r>
          </w:p>
        </w:tc>
      </w:tr>
      <w:tr w:rsidR="00A03B2A" w:rsidTr="00A03B2A">
        <w:tc>
          <w:tcPr>
            <w:tcW w:w="445" w:type="dxa"/>
          </w:tcPr>
          <w:p w:rsidR="00A03B2A" w:rsidRDefault="00A03B2A">
            <w:pPr>
              <w:spacing w:after="24" w:line="259" w:lineRule="auto"/>
              <w:ind w:left="0" w:firstLine="0"/>
              <w:rPr>
                <w:sz w:val="16"/>
              </w:rPr>
            </w:pPr>
          </w:p>
        </w:tc>
        <w:tc>
          <w:tcPr>
            <w:tcW w:w="9353" w:type="dxa"/>
          </w:tcPr>
          <w:p w:rsidR="00A03B2A" w:rsidRPr="00A03B2A" w:rsidRDefault="00A03B2A">
            <w:pPr>
              <w:spacing w:after="24" w:line="259" w:lineRule="auto"/>
              <w:ind w:left="0" w:firstLine="0"/>
              <w:rPr>
                <w:sz w:val="18"/>
              </w:rPr>
            </w:pPr>
            <w:r w:rsidRPr="00A03B2A">
              <w:rPr>
                <w:sz w:val="18"/>
              </w:rPr>
              <w:t>Establishing community partnerships</w:t>
            </w:r>
          </w:p>
        </w:tc>
      </w:tr>
    </w:tbl>
    <w:p w:rsidR="00362EB7" w:rsidRDefault="00036A9C">
      <w:pPr>
        <w:spacing w:after="24" w:line="259" w:lineRule="auto"/>
        <w:ind w:left="0" w:firstLine="0"/>
      </w:pPr>
      <w:r>
        <w:rPr>
          <w:sz w:val="16"/>
        </w:rPr>
        <w:t xml:space="preserve"> </w:t>
      </w:r>
    </w:p>
    <w:p w:rsidR="00362EB7" w:rsidRPr="00A03B2A" w:rsidRDefault="00036A9C" w:rsidP="006A18C2">
      <w:pPr>
        <w:spacing w:after="83"/>
        <w:ind w:left="0" w:firstLine="0"/>
        <w:rPr>
          <w:b/>
          <w:sz w:val="22"/>
          <w:szCs w:val="24"/>
        </w:rPr>
      </w:pPr>
      <w:r w:rsidRPr="00A03B2A">
        <w:rPr>
          <w:b/>
          <w:color w:val="365F91"/>
          <w:sz w:val="22"/>
          <w:szCs w:val="24"/>
        </w:rPr>
        <w:t>Part III</w:t>
      </w:r>
      <w:r w:rsidRPr="00A03B2A">
        <w:rPr>
          <w:b/>
          <w:sz w:val="22"/>
          <w:szCs w:val="24"/>
        </w:rPr>
        <w:t>:</w:t>
      </w:r>
      <w:r w:rsidR="00C94D85" w:rsidRPr="00A03B2A">
        <w:rPr>
          <w:b/>
          <w:sz w:val="22"/>
          <w:szCs w:val="24"/>
        </w:rPr>
        <w:t xml:space="preserve">  </w:t>
      </w:r>
      <w:r w:rsidR="00A03B2A" w:rsidRPr="00A03B2A">
        <w:rPr>
          <w:b/>
          <w:sz w:val="22"/>
          <w:szCs w:val="24"/>
        </w:rPr>
        <w:t>Effective Use of Technology</w:t>
      </w:r>
    </w:p>
    <w:tbl>
      <w:tblPr>
        <w:tblStyle w:val="TableGrid0"/>
        <w:tblW w:w="0" w:type="auto"/>
        <w:tblLook w:val="04A0" w:firstRow="1" w:lastRow="0" w:firstColumn="1" w:lastColumn="0" w:noHBand="0" w:noVBand="1"/>
      </w:tblPr>
      <w:tblGrid>
        <w:gridCol w:w="445"/>
        <w:gridCol w:w="9353"/>
      </w:tblGrid>
      <w:tr w:rsidR="00A03B2A" w:rsidRPr="00A03B2A" w:rsidTr="00A03B2A">
        <w:tc>
          <w:tcPr>
            <w:tcW w:w="445" w:type="dxa"/>
          </w:tcPr>
          <w:p w:rsidR="00A03B2A" w:rsidRPr="00A03B2A" w:rsidRDefault="00A03B2A" w:rsidP="006A18C2">
            <w:pPr>
              <w:spacing w:after="83"/>
              <w:ind w:left="0" w:firstLine="0"/>
              <w:rPr>
                <w:b/>
                <w:sz w:val="22"/>
                <w:szCs w:val="24"/>
              </w:rPr>
            </w:pPr>
          </w:p>
        </w:tc>
        <w:tc>
          <w:tcPr>
            <w:tcW w:w="9353" w:type="dxa"/>
            <w:vAlign w:val="center"/>
          </w:tcPr>
          <w:p w:rsidR="00A03B2A" w:rsidRPr="00A03B2A" w:rsidRDefault="00A03B2A" w:rsidP="00A03B2A">
            <w:pPr>
              <w:spacing w:after="83"/>
              <w:ind w:left="0" w:firstLine="0"/>
              <w:rPr>
                <w:b/>
                <w:sz w:val="22"/>
                <w:szCs w:val="24"/>
              </w:rPr>
            </w:pPr>
            <w:r w:rsidRPr="00A03B2A">
              <w:rPr>
                <w:sz w:val="18"/>
              </w:rPr>
              <w:t>Supporting high-quality professional development for educators, school leaders, and administrators to personalize learning and improve academic achievement</w:t>
            </w:r>
          </w:p>
        </w:tc>
      </w:tr>
      <w:tr w:rsidR="00A03B2A" w:rsidRPr="00A03B2A" w:rsidTr="00A03B2A">
        <w:tc>
          <w:tcPr>
            <w:tcW w:w="445" w:type="dxa"/>
          </w:tcPr>
          <w:p w:rsidR="00A03B2A" w:rsidRPr="00A03B2A" w:rsidRDefault="00A03B2A" w:rsidP="006A18C2">
            <w:pPr>
              <w:spacing w:after="83"/>
              <w:ind w:left="0" w:firstLine="0"/>
              <w:rPr>
                <w:b/>
                <w:sz w:val="22"/>
                <w:szCs w:val="24"/>
              </w:rPr>
            </w:pPr>
          </w:p>
        </w:tc>
        <w:tc>
          <w:tcPr>
            <w:tcW w:w="9353" w:type="dxa"/>
            <w:vAlign w:val="center"/>
          </w:tcPr>
          <w:p w:rsidR="00A03B2A" w:rsidRPr="00A03B2A" w:rsidRDefault="00A03B2A" w:rsidP="00A03B2A">
            <w:pPr>
              <w:spacing w:after="83"/>
              <w:ind w:left="0" w:firstLine="0"/>
              <w:rPr>
                <w:b/>
                <w:sz w:val="22"/>
                <w:szCs w:val="24"/>
              </w:rPr>
            </w:pPr>
            <w:r w:rsidRPr="00A03B2A">
              <w:rPr>
                <w:sz w:val="18"/>
              </w:rPr>
              <w:t>Building technological capacity and infrastructure</w:t>
            </w:r>
          </w:p>
        </w:tc>
      </w:tr>
      <w:tr w:rsidR="00A03B2A" w:rsidRPr="00A03B2A" w:rsidTr="00A03B2A">
        <w:tc>
          <w:tcPr>
            <w:tcW w:w="445" w:type="dxa"/>
          </w:tcPr>
          <w:p w:rsidR="00A03B2A" w:rsidRPr="00A03B2A" w:rsidRDefault="00A03B2A" w:rsidP="006A18C2">
            <w:pPr>
              <w:spacing w:after="83"/>
              <w:ind w:left="0" w:firstLine="0"/>
              <w:rPr>
                <w:b/>
                <w:sz w:val="22"/>
                <w:szCs w:val="24"/>
              </w:rPr>
            </w:pPr>
          </w:p>
        </w:tc>
        <w:tc>
          <w:tcPr>
            <w:tcW w:w="9353" w:type="dxa"/>
            <w:vAlign w:val="center"/>
          </w:tcPr>
          <w:p w:rsidR="00A03B2A" w:rsidRPr="00A03B2A" w:rsidRDefault="00A03B2A" w:rsidP="00A03B2A">
            <w:pPr>
              <w:spacing w:after="83"/>
              <w:rPr>
                <w:b/>
                <w:sz w:val="22"/>
                <w:szCs w:val="24"/>
              </w:rPr>
            </w:pPr>
            <w:r w:rsidRPr="00A03B2A">
              <w:rPr>
                <w:sz w:val="18"/>
              </w:rPr>
              <w:t>Carrying out innovative blended learning projects</w:t>
            </w:r>
          </w:p>
        </w:tc>
      </w:tr>
      <w:tr w:rsidR="00A03B2A" w:rsidRPr="00A03B2A" w:rsidTr="00A03B2A">
        <w:tc>
          <w:tcPr>
            <w:tcW w:w="445" w:type="dxa"/>
          </w:tcPr>
          <w:p w:rsidR="00A03B2A" w:rsidRPr="00A03B2A" w:rsidRDefault="00A03B2A" w:rsidP="006A18C2">
            <w:pPr>
              <w:spacing w:after="83"/>
              <w:ind w:left="0" w:firstLine="0"/>
              <w:rPr>
                <w:b/>
                <w:sz w:val="22"/>
                <w:szCs w:val="24"/>
              </w:rPr>
            </w:pPr>
          </w:p>
        </w:tc>
        <w:tc>
          <w:tcPr>
            <w:tcW w:w="9353" w:type="dxa"/>
            <w:vAlign w:val="center"/>
          </w:tcPr>
          <w:p w:rsidR="00A03B2A" w:rsidRPr="00A03B2A" w:rsidRDefault="00A03B2A" w:rsidP="00A03B2A">
            <w:pPr>
              <w:spacing w:after="83"/>
              <w:ind w:left="0" w:firstLine="0"/>
              <w:rPr>
                <w:b/>
                <w:sz w:val="22"/>
                <w:szCs w:val="24"/>
              </w:rPr>
            </w:pPr>
            <w:r w:rsidRPr="00A03B2A">
              <w:rPr>
                <w:sz w:val="18"/>
              </w:rPr>
              <w:t>Providing students in rural, remote, and underserved areas with the resources to benefit from high-quality digital learning opportunities</w:t>
            </w:r>
          </w:p>
        </w:tc>
      </w:tr>
      <w:tr w:rsidR="00A03B2A" w:rsidRPr="00A03B2A" w:rsidTr="00A03B2A">
        <w:tc>
          <w:tcPr>
            <w:tcW w:w="445" w:type="dxa"/>
          </w:tcPr>
          <w:p w:rsidR="00A03B2A" w:rsidRPr="00A03B2A" w:rsidRDefault="00A03B2A" w:rsidP="006A18C2">
            <w:pPr>
              <w:spacing w:after="83"/>
              <w:ind w:left="0" w:firstLine="0"/>
              <w:rPr>
                <w:b/>
                <w:sz w:val="22"/>
                <w:szCs w:val="24"/>
              </w:rPr>
            </w:pPr>
          </w:p>
        </w:tc>
        <w:tc>
          <w:tcPr>
            <w:tcW w:w="9353" w:type="dxa"/>
            <w:vAlign w:val="center"/>
          </w:tcPr>
          <w:p w:rsidR="00A03B2A" w:rsidRPr="00A03B2A" w:rsidRDefault="00A03B2A" w:rsidP="00A03B2A">
            <w:pPr>
              <w:spacing w:after="83"/>
              <w:ind w:left="0" w:firstLine="0"/>
              <w:rPr>
                <w:b/>
                <w:sz w:val="22"/>
                <w:szCs w:val="24"/>
              </w:rPr>
            </w:pPr>
            <w:r w:rsidRPr="00A03B2A">
              <w:rPr>
                <w:sz w:val="18"/>
              </w:rPr>
              <w:t>Delivering specialized or rigorous academic courses and curricula using technology, including digital learning technologies and assistive technology</w:t>
            </w:r>
          </w:p>
        </w:tc>
      </w:tr>
    </w:tbl>
    <w:p w:rsidR="00A03B2A" w:rsidRPr="00A03B2A" w:rsidRDefault="00A03B2A" w:rsidP="00A03B2A">
      <w:pPr>
        <w:spacing w:after="83"/>
        <w:ind w:left="0" w:firstLine="0"/>
        <w:rPr>
          <w:b/>
          <w:sz w:val="22"/>
          <w:szCs w:val="24"/>
        </w:rPr>
      </w:pPr>
    </w:p>
    <w:sectPr w:rsidR="00A03B2A" w:rsidRPr="00A03B2A">
      <w:headerReference w:type="default" r:id="rId7"/>
      <w:footerReference w:type="default" r:id="rId8"/>
      <w:pgSz w:w="12240" w:h="15840"/>
      <w:pgMar w:top="1440" w:right="99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31C" w:rsidRDefault="00B3531C" w:rsidP="001E11A1">
      <w:pPr>
        <w:spacing w:after="0" w:line="240" w:lineRule="auto"/>
      </w:pPr>
      <w:r>
        <w:separator/>
      </w:r>
    </w:p>
  </w:endnote>
  <w:endnote w:type="continuationSeparator" w:id="0">
    <w:p w:rsidR="00B3531C" w:rsidRDefault="00B3531C" w:rsidP="001E1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1A1" w:rsidRPr="001E11A1" w:rsidRDefault="001E11A1" w:rsidP="001E11A1">
    <w:pPr>
      <w:spacing w:after="0" w:line="259" w:lineRule="auto"/>
      <w:ind w:left="0" w:firstLine="0"/>
      <w:jc w:val="center"/>
      <w:rPr>
        <w:sz w:val="22"/>
      </w:rPr>
    </w:pPr>
    <w:r w:rsidRPr="001E11A1">
      <w:rPr>
        <w:color w:val="4F81BD"/>
        <w:sz w:val="18"/>
      </w:rPr>
      <w:t>S</w:t>
    </w:r>
    <w:r w:rsidR="005C753C">
      <w:rPr>
        <w:color w:val="4F81BD"/>
        <w:sz w:val="18"/>
      </w:rPr>
      <w:t>ain</w:t>
    </w:r>
    <w:r w:rsidRPr="001E11A1">
      <w:rPr>
        <w:color w:val="4F81BD"/>
        <w:sz w:val="18"/>
      </w:rPr>
      <w:t>t Louis Public Schools • 801 N. 11</w:t>
    </w:r>
    <w:r w:rsidRPr="001E11A1">
      <w:rPr>
        <w:color w:val="4F81BD"/>
        <w:sz w:val="18"/>
        <w:vertAlign w:val="superscript"/>
      </w:rPr>
      <w:t>th</w:t>
    </w:r>
    <w:r w:rsidRPr="001E11A1">
      <w:rPr>
        <w:color w:val="4F81BD"/>
        <w:sz w:val="18"/>
      </w:rPr>
      <w:t xml:space="preserve"> Street. • St Louis, MO 63101 • www.slps.org</w:t>
    </w:r>
  </w:p>
  <w:p w:rsidR="001E11A1" w:rsidRDefault="001E11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31C" w:rsidRDefault="00B3531C" w:rsidP="001E11A1">
      <w:pPr>
        <w:spacing w:after="0" w:line="240" w:lineRule="auto"/>
      </w:pPr>
      <w:r>
        <w:separator/>
      </w:r>
    </w:p>
  </w:footnote>
  <w:footnote w:type="continuationSeparator" w:id="0">
    <w:p w:rsidR="00B3531C" w:rsidRDefault="00B3531C" w:rsidP="001E1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8C2" w:rsidRDefault="006A18C2" w:rsidP="006A18C2">
    <w:pPr>
      <w:pStyle w:val="Header"/>
      <w:tabs>
        <w:tab w:val="clear" w:pos="4680"/>
        <w:tab w:val="clear" w:pos="9360"/>
        <w:tab w:val="center" w:pos="4904"/>
        <w:tab w:val="right" w:pos="9808"/>
      </w:tabs>
      <w:jc w:val="right"/>
      <w:rPr>
        <w:color w:val="5B9BD5" w:themeColor="accent1"/>
      </w:rPr>
    </w:pPr>
    <w:r>
      <w:rPr>
        <w:color w:val="5B9BD5" w:themeColor="accent1"/>
      </w:rPr>
      <w:tab/>
    </w:r>
    <w:r>
      <w:rPr>
        <w:color w:val="5B9BD5" w:themeColor="accent1"/>
      </w:rPr>
      <w:tab/>
      <w:t>GRANTS MANAGEMENT OFFICE</w:t>
    </w:r>
    <w:sdt>
      <w:sdtPr>
        <w:rPr>
          <w:color w:val="5B9BD5" w:themeColor="accent1"/>
        </w:rPr>
        <w:alias w:val="Title"/>
        <w:tag w:val=""/>
        <w:id w:val="664756013"/>
        <w:placeholder>
          <w:docPart w:val="0D70CFEB442E4CF7844C4CFDA6EEC357"/>
        </w:placeholder>
        <w:dataBinding w:prefixMappings="xmlns:ns0='http://purl.org/dc/elements/1.1/' xmlns:ns1='http://schemas.openxmlformats.org/package/2006/metadata/core-properties' " w:xpath="/ns1:coreProperties[1]/ns0:title[1]" w:storeItemID="{6C3C8BC8-F283-45AE-878A-BAB7291924A1}"/>
        <w:text/>
      </w:sdtPr>
      <w:sdtEndPr/>
      <w:sdtContent>
        <w:r>
          <w:rPr>
            <w:color w:val="5B9BD5" w:themeColor="accent1"/>
          </w:rPr>
          <w:t xml:space="preserve"> </w:t>
        </w:r>
      </w:sdtContent>
    </w:sdt>
    <w:r>
      <w:rPr>
        <w:color w:val="5B9BD5" w:themeColor="accent1"/>
      </w:rPr>
      <w:t xml:space="preserve"> | </w:t>
    </w:r>
    <w:sdt>
      <w:sdtPr>
        <w:rPr>
          <w:color w:val="808080" w:themeColor="background1" w:themeShade="80"/>
        </w:rPr>
        <w:alias w:val="Author"/>
        <w:tag w:val=""/>
        <w:id w:val="-1677181147"/>
        <w:placeholder>
          <w:docPart w:val="C75A190A87874BBEA950D4C770D7EDDD"/>
        </w:placeholder>
        <w:dataBinding w:prefixMappings="xmlns:ns0='http://purl.org/dc/elements/1.1/' xmlns:ns1='http://schemas.openxmlformats.org/package/2006/metadata/core-properties' " w:xpath="/ns1:coreProperties[1]/ns0:creator[1]" w:storeItemID="{6C3C8BC8-F283-45AE-878A-BAB7291924A1}"/>
        <w:text/>
      </w:sdtPr>
      <w:sdtEndPr/>
      <w:sdtContent>
        <w:r w:rsidR="00336620">
          <w:rPr>
            <w:color w:val="808080" w:themeColor="background1" w:themeShade="80"/>
          </w:rPr>
          <w:t>Fall 2018</w:t>
        </w:r>
      </w:sdtContent>
    </w:sdt>
  </w:p>
  <w:p w:rsidR="006A18C2" w:rsidRDefault="006A18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EB7"/>
    <w:rsid w:val="00036A9C"/>
    <w:rsid w:val="000B44F2"/>
    <w:rsid w:val="001E11A1"/>
    <w:rsid w:val="00336620"/>
    <w:rsid w:val="00362EB7"/>
    <w:rsid w:val="005771DF"/>
    <w:rsid w:val="005C753C"/>
    <w:rsid w:val="005F208C"/>
    <w:rsid w:val="00607A41"/>
    <w:rsid w:val="00673B1C"/>
    <w:rsid w:val="006A18C2"/>
    <w:rsid w:val="00A03B2A"/>
    <w:rsid w:val="00B3531C"/>
    <w:rsid w:val="00C05F86"/>
    <w:rsid w:val="00C94D85"/>
    <w:rsid w:val="00E12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D1AB57-A5B8-41C5-8BC8-27ED254B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76"/>
      <w:ind w:right="449"/>
      <w:jc w:val="center"/>
      <w:outlineLvl w:val="0"/>
    </w:pPr>
    <w:rPr>
      <w:rFonts w:ascii="Cambria" w:eastAsia="Cambria" w:hAnsi="Cambria" w:cs="Cambria"/>
      <w:b/>
      <w:i/>
      <w:color w:val="365F9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i/>
      <w:color w:val="365F91"/>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E1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1A1"/>
    <w:rPr>
      <w:rFonts w:ascii="Calibri" w:eastAsia="Calibri" w:hAnsi="Calibri" w:cs="Calibri"/>
      <w:color w:val="000000"/>
      <w:sz w:val="20"/>
    </w:rPr>
  </w:style>
  <w:style w:type="paragraph" w:styleId="Footer">
    <w:name w:val="footer"/>
    <w:basedOn w:val="Normal"/>
    <w:link w:val="FooterChar"/>
    <w:uiPriority w:val="99"/>
    <w:unhideWhenUsed/>
    <w:rsid w:val="001E1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1A1"/>
    <w:rPr>
      <w:rFonts w:ascii="Calibri" w:eastAsia="Calibri" w:hAnsi="Calibri" w:cs="Calibri"/>
      <w:color w:val="000000"/>
      <w:sz w:val="20"/>
    </w:rPr>
  </w:style>
  <w:style w:type="table" w:styleId="TableGrid0">
    <w:name w:val="Table Grid"/>
    <w:basedOn w:val="TableNormal"/>
    <w:uiPriority w:val="39"/>
    <w:rsid w:val="00336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70CFEB442E4CF7844C4CFDA6EEC357"/>
        <w:category>
          <w:name w:val="General"/>
          <w:gallery w:val="placeholder"/>
        </w:category>
        <w:types>
          <w:type w:val="bbPlcHdr"/>
        </w:types>
        <w:behaviors>
          <w:behavior w:val="content"/>
        </w:behaviors>
        <w:guid w:val="{C03249B2-CC08-4D1E-98F6-7041AAA61732}"/>
      </w:docPartPr>
      <w:docPartBody>
        <w:p w:rsidR="00002329" w:rsidRDefault="003F1BD2" w:rsidP="003F1BD2">
          <w:pPr>
            <w:pStyle w:val="0D70CFEB442E4CF7844C4CFDA6EEC357"/>
          </w:pPr>
          <w:r>
            <w:rPr>
              <w:color w:val="5B9BD5" w:themeColor="accent1"/>
            </w:rPr>
            <w:t>[Document title]</w:t>
          </w:r>
        </w:p>
      </w:docPartBody>
    </w:docPart>
    <w:docPart>
      <w:docPartPr>
        <w:name w:val="C75A190A87874BBEA950D4C770D7EDDD"/>
        <w:category>
          <w:name w:val="General"/>
          <w:gallery w:val="placeholder"/>
        </w:category>
        <w:types>
          <w:type w:val="bbPlcHdr"/>
        </w:types>
        <w:behaviors>
          <w:behavior w:val="content"/>
        </w:behaviors>
        <w:guid w:val="{887333CF-C427-4F2B-B257-EB0BF014C45E}"/>
      </w:docPartPr>
      <w:docPartBody>
        <w:p w:rsidR="00002329" w:rsidRDefault="003F1BD2" w:rsidP="003F1BD2">
          <w:pPr>
            <w:pStyle w:val="C75A190A87874BBEA950D4C770D7EDDD"/>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D2"/>
    <w:rsid w:val="00002329"/>
    <w:rsid w:val="003F1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70CFEB442E4CF7844C4CFDA6EEC357">
    <w:name w:val="0D70CFEB442E4CF7844C4CFDA6EEC357"/>
    <w:rsid w:val="003F1BD2"/>
  </w:style>
  <w:style w:type="paragraph" w:customStyle="1" w:styleId="C75A190A87874BBEA950D4C770D7EDDD">
    <w:name w:val="C75A190A87874BBEA950D4C770D7EDDD"/>
    <w:rsid w:val="003F1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 Louis Public Schools</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Fall 2018</dc:creator>
  <cp:keywords/>
  <cp:lastModifiedBy>Glaspy, Victoria</cp:lastModifiedBy>
  <cp:revision>2</cp:revision>
  <dcterms:created xsi:type="dcterms:W3CDTF">2018-08-23T22:10:00Z</dcterms:created>
  <dcterms:modified xsi:type="dcterms:W3CDTF">2018-08-23T22:10:00Z</dcterms:modified>
</cp:coreProperties>
</file>